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C02" w:rsidRPr="0045162A" w:rsidRDefault="00721C02" w:rsidP="007F734D">
      <w:pPr>
        <w:spacing w:line="240" w:lineRule="auto"/>
        <w:jc w:val="left"/>
        <w:rPr>
          <w:b/>
        </w:rPr>
      </w:pPr>
    </w:p>
    <w:p w:rsidR="007F734D" w:rsidRPr="0045162A" w:rsidRDefault="007F734D" w:rsidP="007F734D">
      <w:pPr>
        <w:spacing w:line="240" w:lineRule="auto"/>
        <w:jc w:val="left"/>
        <w:rPr>
          <w:b/>
        </w:rPr>
      </w:pPr>
    </w:p>
    <w:p w:rsidR="004873A6" w:rsidRPr="0045162A" w:rsidRDefault="004873A6" w:rsidP="007F734D">
      <w:pPr>
        <w:spacing w:line="240" w:lineRule="auto"/>
        <w:jc w:val="left"/>
        <w:rPr>
          <w:b/>
        </w:rPr>
      </w:pPr>
    </w:p>
    <w:p w:rsidR="004873A6" w:rsidRPr="0045162A" w:rsidRDefault="004873A6" w:rsidP="007F734D">
      <w:pPr>
        <w:spacing w:line="240" w:lineRule="auto"/>
        <w:jc w:val="left"/>
        <w:rPr>
          <w:b/>
        </w:rPr>
      </w:pPr>
    </w:p>
    <w:p w:rsidR="007F734D" w:rsidRPr="0045162A" w:rsidRDefault="007F734D" w:rsidP="007F734D">
      <w:pPr>
        <w:spacing w:line="240" w:lineRule="auto"/>
        <w:jc w:val="left"/>
        <w:rPr>
          <w:sz w:val="22"/>
          <w:szCs w:val="24"/>
        </w:rPr>
      </w:pPr>
      <w:r w:rsidRPr="0045162A">
        <w:rPr>
          <w:sz w:val="22"/>
          <w:szCs w:val="24"/>
        </w:rPr>
        <w:t>…………………………………………</w:t>
      </w:r>
    </w:p>
    <w:p w:rsidR="007F734D" w:rsidRPr="0045162A" w:rsidRDefault="007F734D" w:rsidP="007F734D">
      <w:pPr>
        <w:spacing w:line="240" w:lineRule="auto"/>
        <w:jc w:val="left"/>
        <w:rPr>
          <w:sz w:val="18"/>
          <w:szCs w:val="20"/>
        </w:rPr>
      </w:pPr>
      <w:r w:rsidRPr="0045162A">
        <w:rPr>
          <w:sz w:val="18"/>
          <w:szCs w:val="20"/>
        </w:rPr>
        <w:t>(miejscowość, data)</w:t>
      </w:r>
    </w:p>
    <w:p w:rsidR="007F734D" w:rsidRPr="0045162A" w:rsidRDefault="007F734D" w:rsidP="00915939">
      <w:pPr>
        <w:spacing w:line="240" w:lineRule="auto"/>
        <w:jc w:val="center"/>
        <w:rPr>
          <w:b/>
        </w:rPr>
      </w:pPr>
    </w:p>
    <w:p w:rsidR="007F734D" w:rsidRPr="0045162A" w:rsidRDefault="007F734D" w:rsidP="00915939">
      <w:pPr>
        <w:spacing w:line="240" w:lineRule="auto"/>
        <w:jc w:val="center"/>
        <w:rPr>
          <w:b/>
        </w:rPr>
      </w:pPr>
    </w:p>
    <w:p w:rsidR="00260A06" w:rsidRPr="0045162A" w:rsidRDefault="00154FC9" w:rsidP="00CB27BD">
      <w:pPr>
        <w:shd w:val="clear" w:color="auto" w:fill="C5E0B3" w:themeFill="accent6" w:themeFillTint="66"/>
        <w:spacing w:line="240" w:lineRule="auto"/>
        <w:jc w:val="center"/>
        <w:rPr>
          <w:b/>
          <w:sz w:val="22"/>
          <w:szCs w:val="32"/>
        </w:rPr>
      </w:pPr>
      <w:r w:rsidRPr="0045162A">
        <w:rPr>
          <w:b/>
          <w:sz w:val="28"/>
          <w:szCs w:val="32"/>
        </w:rPr>
        <w:t>Formularz konsultacyjny</w:t>
      </w:r>
    </w:p>
    <w:p w:rsidR="004D03D7" w:rsidRPr="0045162A" w:rsidRDefault="005871DA" w:rsidP="00915939">
      <w:pPr>
        <w:spacing w:line="240" w:lineRule="auto"/>
        <w:jc w:val="center"/>
        <w:rPr>
          <w:sz w:val="26"/>
          <w:szCs w:val="26"/>
        </w:rPr>
      </w:pPr>
      <w:r w:rsidRPr="0045162A">
        <w:rPr>
          <w:sz w:val="32"/>
          <w:szCs w:val="32"/>
        </w:rPr>
        <w:t xml:space="preserve"> </w:t>
      </w:r>
      <w:r w:rsidRPr="0045162A">
        <w:rPr>
          <w:sz w:val="32"/>
          <w:szCs w:val="32"/>
        </w:rPr>
        <w:br/>
      </w:r>
      <w:r w:rsidR="00260A06" w:rsidRPr="0045162A">
        <w:rPr>
          <w:sz w:val="24"/>
          <w:szCs w:val="26"/>
        </w:rPr>
        <w:t xml:space="preserve">zgłaszania uwag do projektu uchwały w sprawie </w:t>
      </w:r>
      <w:r w:rsidR="004D03D7" w:rsidRPr="0045162A">
        <w:rPr>
          <w:sz w:val="24"/>
          <w:szCs w:val="26"/>
        </w:rPr>
        <w:t xml:space="preserve">wyznaczenia obszaru zdegradowanego oraz obszaru rewitalizacji Gminy </w:t>
      </w:r>
      <w:r w:rsidR="006C0AD6">
        <w:rPr>
          <w:sz w:val="24"/>
          <w:szCs w:val="26"/>
        </w:rPr>
        <w:t>Mirów</w:t>
      </w:r>
    </w:p>
    <w:p w:rsidR="007F734D" w:rsidRPr="0045162A" w:rsidRDefault="007F734D" w:rsidP="004D03D7"/>
    <w:p w:rsidR="00260A06" w:rsidRPr="0045162A" w:rsidRDefault="00FC1F0F" w:rsidP="007F734D">
      <w:pPr>
        <w:shd w:val="clear" w:color="auto" w:fill="D9D9D9" w:themeFill="background1" w:themeFillShade="D9"/>
        <w:rPr>
          <w:b/>
          <w:color w:val="000000"/>
        </w:rPr>
      </w:pPr>
      <w:r w:rsidRPr="0045162A">
        <w:rPr>
          <w:b/>
          <w:sz w:val="24"/>
          <w:szCs w:val="26"/>
        </w:rPr>
        <w:t>Wprowadzenie</w:t>
      </w:r>
    </w:p>
    <w:p w:rsidR="00E66C75" w:rsidRPr="0045162A" w:rsidRDefault="00E66C75" w:rsidP="004D03D7"/>
    <w:p w:rsidR="0045162A" w:rsidRPr="0045162A" w:rsidRDefault="00260A06" w:rsidP="00260A06">
      <w:pPr>
        <w:spacing w:line="240" w:lineRule="auto"/>
        <w:rPr>
          <w:szCs w:val="18"/>
        </w:rPr>
      </w:pPr>
      <w:r w:rsidRPr="0045162A">
        <w:rPr>
          <w:szCs w:val="18"/>
        </w:rPr>
        <w:t xml:space="preserve">Zgodnie z </w:t>
      </w:r>
      <w:r w:rsidRPr="0045162A">
        <w:rPr>
          <w:i/>
          <w:szCs w:val="18"/>
        </w:rPr>
        <w:t xml:space="preserve">Wytycznymi w zakresie rewitalizacji w programach operacyjnych na lata 2014 – 2020 </w:t>
      </w:r>
      <w:r w:rsidRPr="0045162A">
        <w:rPr>
          <w:szCs w:val="18"/>
        </w:rPr>
        <w:t>rewitalizacja to kompleksowy proces wyprowadzania ze stanu kryzysowego obszarów zdegradowanych poprzez działania cało</w:t>
      </w:r>
      <w:r w:rsidRPr="0045162A">
        <w:rPr>
          <w:rFonts w:eastAsia="Arial"/>
          <w:szCs w:val="18"/>
        </w:rPr>
        <w:t>ś</w:t>
      </w:r>
      <w:r w:rsidRPr="0045162A">
        <w:rPr>
          <w:szCs w:val="18"/>
        </w:rPr>
        <w:t>ciowe (powi</w:t>
      </w:r>
      <w:r w:rsidRPr="0045162A">
        <w:rPr>
          <w:rFonts w:eastAsia="Arial"/>
          <w:szCs w:val="18"/>
        </w:rPr>
        <w:t>ą</w:t>
      </w:r>
      <w:r w:rsidRPr="0045162A">
        <w:rPr>
          <w:szCs w:val="18"/>
        </w:rPr>
        <w:t>zane wzajemnie przedsi</w:t>
      </w:r>
      <w:r w:rsidRPr="0045162A">
        <w:rPr>
          <w:rFonts w:eastAsia="Arial"/>
          <w:szCs w:val="18"/>
        </w:rPr>
        <w:t>ę</w:t>
      </w:r>
      <w:r w:rsidRPr="0045162A">
        <w:rPr>
          <w:szCs w:val="18"/>
        </w:rPr>
        <w:t>wzi</w:t>
      </w:r>
      <w:r w:rsidRPr="0045162A">
        <w:rPr>
          <w:rFonts w:eastAsia="Arial"/>
          <w:szCs w:val="18"/>
        </w:rPr>
        <w:t>ę</w:t>
      </w:r>
      <w:r w:rsidRPr="0045162A">
        <w:rPr>
          <w:szCs w:val="18"/>
        </w:rPr>
        <w:t>cia obejmuj</w:t>
      </w:r>
      <w:r w:rsidRPr="0045162A">
        <w:rPr>
          <w:rFonts w:eastAsia="Arial"/>
          <w:szCs w:val="18"/>
        </w:rPr>
        <w:t>ą</w:t>
      </w:r>
      <w:r w:rsidRPr="0045162A">
        <w:rPr>
          <w:szCs w:val="18"/>
        </w:rPr>
        <w:t xml:space="preserve">ce kwestie społeczne oraz gospodarcze lub przestrzenno-funkcjonalne lub techniczne lub </w:t>
      </w:r>
      <w:r w:rsidRPr="0045162A">
        <w:rPr>
          <w:rFonts w:eastAsia="Arial"/>
          <w:szCs w:val="18"/>
        </w:rPr>
        <w:t>ś</w:t>
      </w:r>
      <w:r w:rsidRPr="0045162A">
        <w:rPr>
          <w:szCs w:val="18"/>
        </w:rPr>
        <w:t>rodowiskowe), integruj</w:t>
      </w:r>
      <w:r w:rsidRPr="0045162A">
        <w:rPr>
          <w:rFonts w:eastAsia="Arial"/>
          <w:szCs w:val="18"/>
        </w:rPr>
        <w:t>ą</w:t>
      </w:r>
      <w:r w:rsidRPr="0045162A">
        <w:rPr>
          <w:szCs w:val="18"/>
        </w:rPr>
        <w:t>ce interwencj</w:t>
      </w:r>
      <w:r w:rsidRPr="0045162A">
        <w:rPr>
          <w:rFonts w:eastAsia="Arial"/>
          <w:szCs w:val="18"/>
        </w:rPr>
        <w:t>ę</w:t>
      </w:r>
      <w:r w:rsidRPr="0045162A">
        <w:rPr>
          <w:szCs w:val="18"/>
        </w:rPr>
        <w:t xml:space="preserve"> na rzecz społeczno</w:t>
      </w:r>
      <w:r w:rsidRPr="0045162A">
        <w:rPr>
          <w:rFonts w:eastAsia="Arial"/>
          <w:szCs w:val="18"/>
        </w:rPr>
        <w:t>ś</w:t>
      </w:r>
      <w:r w:rsidRPr="0045162A">
        <w:rPr>
          <w:szCs w:val="18"/>
        </w:rPr>
        <w:t>ci lokalnej, przestrzeni i lokalnej gos</w:t>
      </w:r>
      <w:bookmarkStart w:id="0" w:name="_GoBack"/>
      <w:bookmarkEnd w:id="0"/>
      <w:r w:rsidRPr="0045162A">
        <w:rPr>
          <w:szCs w:val="18"/>
        </w:rPr>
        <w:t xml:space="preserve">podarki, skoncentrowane terytorialnie i prowadzone w sposób zaplanowany oraz zintegrowany poprzez programy rewitalizacji. </w:t>
      </w:r>
    </w:p>
    <w:p w:rsidR="0045162A" w:rsidRDefault="0045162A" w:rsidP="00260A06">
      <w:pPr>
        <w:spacing w:line="240" w:lineRule="auto"/>
        <w:rPr>
          <w:szCs w:val="18"/>
        </w:rPr>
      </w:pPr>
    </w:p>
    <w:p w:rsidR="00260A06" w:rsidRPr="0045162A" w:rsidRDefault="00260A06" w:rsidP="00260A06">
      <w:pPr>
        <w:spacing w:line="240" w:lineRule="auto"/>
        <w:rPr>
          <w:szCs w:val="18"/>
        </w:rPr>
      </w:pPr>
      <w:r w:rsidRPr="0045162A">
        <w:rPr>
          <w:szCs w:val="18"/>
        </w:rPr>
        <w:t>Rewitalizacja zakłada optymalne wykorzystanie specyficznych uwarunkowa</w:t>
      </w:r>
      <w:r w:rsidRPr="0045162A">
        <w:rPr>
          <w:rFonts w:eastAsia="Arial"/>
          <w:szCs w:val="18"/>
        </w:rPr>
        <w:t>ń</w:t>
      </w:r>
      <w:r w:rsidRPr="0045162A">
        <w:rPr>
          <w:szCs w:val="18"/>
        </w:rPr>
        <w:t xml:space="preserve"> danego obszaru oraz wzmacnianie jego lokalnych potencjałów (w tym tak</w:t>
      </w:r>
      <w:r w:rsidRPr="0045162A">
        <w:rPr>
          <w:rFonts w:eastAsia="Arial"/>
          <w:szCs w:val="18"/>
        </w:rPr>
        <w:t>ż</w:t>
      </w:r>
      <w:r w:rsidRPr="0045162A">
        <w:rPr>
          <w:szCs w:val="18"/>
        </w:rPr>
        <w:t>e kulturowych) i jest procesem wieloletnim, prowadzonym przez interesariuszy (m.in. przedsi</w:t>
      </w:r>
      <w:r w:rsidRPr="0045162A">
        <w:rPr>
          <w:rFonts w:eastAsia="Arial"/>
          <w:szCs w:val="18"/>
        </w:rPr>
        <w:t>ę</w:t>
      </w:r>
      <w:r w:rsidRPr="0045162A">
        <w:rPr>
          <w:szCs w:val="18"/>
        </w:rPr>
        <w:t>biorców, organizacje pozarz</w:t>
      </w:r>
      <w:r w:rsidRPr="0045162A">
        <w:rPr>
          <w:rFonts w:eastAsia="Arial"/>
          <w:szCs w:val="18"/>
        </w:rPr>
        <w:t>ą</w:t>
      </w:r>
      <w:r w:rsidRPr="0045162A">
        <w:rPr>
          <w:szCs w:val="18"/>
        </w:rPr>
        <w:t>dowe, wła</w:t>
      </w:r>
      <w:r w:rsidRPr="0045162A">
        <w:rPr>
          <w:rFonts w:eastAsia="Arial"/>
          <w:szCs w:val="18"/>
        </w:rPr>
        <w:t>ś</w:t>
      </w:r>
      <w:r w:rsidRPr="0045162A">
        <w:rPr>
          <w:szCs w:val="18"/>
        </w:rPr>
        <w:t>cicieli nieruchomo</w:t>
      </w:r>
      <w:r w:rsidRPr="0045162A">
        <w:rPr>
          <w:rFonts w:eastAsia="Arial"/>
          <w:szCs w:val="18"/>
        </w:rPr>
        <w:t>ś</w:t>
      </w:r>
      <w:r w:rsidRPr="0045162A">
        <w:rPr>
          <w:szCs w:val="18"/>
        </w:rPr>
        <w:t xml:space="preserve">ci, organy władzy publicznej, etc.) tego procesu, </w:t>
      </w:r>
      <w:r w:rsidR="00E51B4B">
        <w:rPr>
          <w:szCs w:val="18"/>
        </w:rPr>
        <w:br/>
      </w:r>
      <w:r w:rsidRPr="0045162A">
        <w:rPr>
          <w:szCs w:val="18"/>
        </w:rPr>
        <w:t>w tym przede wszystkim we współpracy z lokaln</w:t>
      </w:r>
      <w:r w:rsidRPr="0045162A">
        <w:rPr>
          <w:rFonts w:eastAsia="Arial"/>
          <w:szCs w:val="18"/>
        </w:rPr>
        <w:t>ą</w:t>
      </w:r>
      <w:r w:rsidRPr="0045162A">
        <w:rPr>
          <w:szCs w:val="18"/>
        </w:rPr>
        <w:t xml:space="preserve"> społeczno</w:t>
      </w:r>
      <w:r w:rsidRPr="0045162A">
        <w:rPr>
          <w:rFonts w:eastAsia="Arial"/>
          <w:szCs w:val="18"/>
        </w:rPr>
        <w:t>ś</w:t>
      </w:r>
      <w:r w:rsidRPr="0045162A">
        <w:rPr>
          <w:szCs w:val="18"/>
        </w:rPr>
        <w:t>ci</w:t>
      </w:r>
      <w:r w:rsidRPr="0045162A">
        <w:rPr>
          <w:rFonts w:eastAsia="Arial"/>
          <w:szCs w:val="18"/>
        </w:rPr>
        <w:t>ą</w:t>
      </w:r>
      <w:r w:rsidRPr="0045162A">
        <w:rPr>
          <w:szCs w:val="18"/>
        </w:rPr>
        <w:t>.</w:t>
      </w:r>
    </w:p>
    <w:p w:rsidR="007F734D" w:rsidRPr="0045162A" w:rsidRDefault="007F734D" w:rsidP="00260A06">
      <w:pPr>
        <w:spacing w:line="240" w:lineRule="auto"/>
        <w:rPr>
          <w:sz w:val="18"/>
          <w:szCs w:val="18"/>
        </w:rPr>
      </w:pPr>
    </w:p>
    <w:p w:rsidR="007F734D" w:rsidRPr="0045162A" w:rsidRDefault="007F734D" w:rsidP="00260A06">
      <w:pPr>
        <w:spacing w:line="240" w:lineRule="auto"/>
        <w:rPr>
          <w:sz w:val="18"/>
          <w:szCs w:val="18"/>
        </w:rPr>
      </w:pPr>
    </w:p>
    <w:p w:rsidR="007F734D" w:rsidRPr="0045162A" w:rsidRDefault="00E66C75" w:rsidP="007F734D">
      <w:pPr>
        <w:shd w:val="clear" w:color="auto" w:fill="D9D9D9" w:themeFill="background1" w:themeFillShade="D9"/>
        <w:rPr>
          <w:b/>
          <w:sz w:val="24"/>
          <w:szCs w:val="24"/>
        </w:rPr>
      </w:pPr>
      <w:r w:rsidRPr="0045162A">
        <w:rPr>
          <w:b/>
          <w:sz w:val="24"/>
          <w:szCs w:val="24"/>
        </w:rPr>
        <w:t>Zgłaszający uwagi</w:t>
      </w:r>
    </w:p>
    <w:p w:rsidR="00E66C75" w:rsidRPr="0045162A" w:rsidRDefault="00E66C75" w:rsidP="004D03D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1"/>
        <w:gridCol w:w="5109"/>
      </w:tblGrid>
      <w:tr w:rsidR="007F734D" w:rsidRPr="0045162A" w:rsidTr="004D03D7">
        <w:trPr>
          <w:trHeight w:val="5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F734D" w:rsidRPr="0045162A" w:rsidRDefault="007F734D" w:rsidP="004D03D7">
            <w:pPr>
              <w:spacing w:line="240" w:lineRule="auto"/>
              <w:jc w:val="left"/>
              <w:rPr>
                <w:b/>
              </w:rPr>
            </w:pPr>
            <w:r w:rsidRPr="0045162A">
              <w:rPr>
                <w:b/>
              </w:rPr>
              <w:t>Imię i Nazwisko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34D" w:rsidRPr="0045162A" w:rsidRDefault="007F734D" w:rsidP="004C66BD">
            <w:pPr>
              <w:rPr>
                <w:b/>
              </w:rPr>
            </w:pPr>
          </w:p>
        </w:tc>
      </w:tr>
      <w:tr w:rsidR="007F734D" w:rsidRPr="0045162A" w:rsidTr="004D03D7">
        <w:trPr>
          <w:trHeight w:val="11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F734D" w:rsidRPr="0045162A" w:rsidRDefault="007F734D" w:rsidP="004D03D7">
            <w:pPr>
              <w:spacing w:line="240" w:lineRule="auto"/>
              <w:jc w:val="left"/>
              <w:rPr>
                <w:b/>
              </w:rPr>
            </w:pPr>
            <w:r w:rsidRPr="0045162A">
              <w:rPr>
                <w:b/>
              </w:rPr>
              <w:t>Nazwa instytucji/jednostki/przedsiębiorstwa</w:t>
            </w:r>
          </w:p>
          <w:p w:rsidR="007F734D" w:rsidRPr="0045162A" w:rsidRDefault="007F734D" w:rsidP="004D03D7">
            <w:pPr>
              <w:spacing w:line="240" w:lineRule="auto"/>
              <w:jc w:val="left"/>
              <w:rPr>
                <w:b/>
              </w:rPr>
            </w:pPr>
            <w:r w:rsidRPr="0045162A">
              <w:rPr>
                <w:b/>
              </w:rPr>
              <w:t>(wpisać w przypadku, gdy uwagę zgłasza jej przedstawiciel)</w:t>
            </w:r>
          </w:p>
        </w:tc>
        <w:tc>
          <w:tcPr>
            <w:tcW w:w="5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D" w:rsidRPr="0045162A" w:rsidRDefault="007F734D" w:rsidP="004C66BD">
            <w:pPr>
              <w:rPr>
                <w:b/>
              </w:rPr>
            </w:pPr>
          </w:p>
        </w:tc>
      </w:tr>
      <w:tr w:rsidR="007F734D" w:rsidRPr="0045162A" w:rsidTr="004D03D7">
        <w:trPr>
          <w:trHeight w:val="4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F734D" w:rsidRPr="0045162A" w:rsidRDefault="007F734D" w:rsidP="004D03D7">
            <w:pPr>
              <w:spacing w:line="240" w:lineRule="auto"/>
              <w:jc w:val="left"/>
              <w:rPr>
                <w:b/>
              </w:rPr>
            </w:pPr>
            <w:r w:rsidRPr="0045162A">
              <w:rPr>
                <w:b/>
              </w:rPr>
              <w:t>e-mail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D" w:rsidRPr="0045162A" w:rsidRDefault="007F734D" w:rsidP="004C66BD">
            <w:pPr>
              <w:rPr>
                <w:b/>
                <w:bCs/>
              </w:rPr>
            </w:pPr>
          </w:p>
        </w:tc>
      </w:tr>
      <w:tr w:rsidR="007F734D" w:rsidRPr="0045162A" w:rsidTr="004D03D7">
        <w:trPr>
          <w:trHeight w:val="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F734D" w:rsidRPr="0045162A" w:rsidRDefault="00BA3B07" w:rsidP="004D03D7">
            <w:pPr>
              <w:spacing w:line="240" w:lineRule="auto"/>
              <w:jc w:val="left"/>
              <w:rPr>
                <w:b/>
              </w:rPr>
            </w:pPr>
            <w:r w:rsidRPr="0045162A">
              <w:rPr>
                <w:b/>
              </w:rPr>
              <w:t>A</w:t>
            </w:r>
            <w:r w:rsidR="007F734D" w:rsidRPr="0045162A">
              <w:rPr>
                <w:b/>
              </w:rPr>
              <w:t xml:space="preserve">dres zamieszkania </w:t>
            </w:r>
          </w:p>
          <w:p w:rsidR="007F734D" w:rsidRPr="0045162A" w:rsidRDefault="007F734D" w:rsidP="004D03D7">
            <w:pPr>
              <w:spacing w:line="240" w:lineRule="auto"/>
              <w:jc w:val="left"/>
              <w:rPr>
                <w:b/>
              </w:rPr>
            </w:pPr>
            <w:r w:rsidRPr="0045162A">
              <w:rPr>
                <w:b/>
              </w:rPr>
              <w:t>(bądź siedziby, w przypadku instytucji/jednostki/przedsiębiorstwa)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4D" w:rsidRPr="0045162A" w:rsidRDefault="007F734D" w:rsidP="004C66BD">
            <w:pPr>
              <w:rPr>
                <w:b/>
                <w:bCs/>
              </w:rPr>
            </w:pPr>
          </w:p>
        </w:tc>
      </w:tr>
    </w:tbl>
    <w:p w:rsidR="007F734D" w:rsidRPr="0045162A" w:rsidRDefault="007F734D" w:rsidP="007F734D">
      <w:pPr>
        <w:rPr>
          <w:b/>
          <w:sz w:val="26"/>
          <w:szCs w:val="26"/>
        </w:rPr>
      </w:pPr>
    </w:p>
    <w:p w:rsidR="007F734D" w:rsidRPr="0045162A" w:rsidRDefault="007F734D" w:rsidP="007F734D">
      <w:pPr>
        <w:rPr>
          <w:b/>
          <w:sz w:val="26"/>
          <w:szCs w:val="26"/>
        </w:rPr>
      </w:pPr>
    </w:p>
    <w:p w:rsidR="007F734D" w:rsidRPr="0045162A" w:rsidRDefault="007F734D" w:rsidP="007F734D">
      <w:pPr>
        <w:rPr>
          <w:b/>
          <w:sz w:val="26"/>
          <w:szCs w:val="26"/>
        </w:rPr>
      </w:pPr>
    </w:p>
    <w:p w:rsidR="007F734D" w:rsidRPr="0045162A" w:rsidRDefault="007F734D" w:rsidP="007F734D">
      <w:pPr>
        <w:rPr>
          <w:b/>
          <w:sz w:val="26"/>
          <w:szCs w:val="26"/>
        </w:rPr>
      </w:pPr>
    </w:p>
    <w:p w:rsidR="007F734D" w:rsidRPr="0045162A" w:rsidRDefault="007F734D" w:rsidP="007F734D">
      <w:pPr>
        <w:rPr>
          <w:b/>
          <w:sz w:val="26"/>
          <w:szCs w:val="26"/>
        </w:rPr>
      </w:pPr>
    </w:p>
    <w:p w:rsidR="007F734D" w:rsidRPr="0045162A" w:rsidRDefault="007F734D" w:rsidP="007F734D">
      <w:pPr>
        <w:shd w:val="clear" w:color="auto" w:fill="D9D9D9" w:themeFill="background1" w:themeFillShade="D9"/>
        <w:rPr>
          <w:b/>
          <w:sz w:val="24"/>
          <w:szCs w:val="26"/>
        </w:rPr>
      </w:pPr>
      <w:r w:rsidRPr="0045162A">
        <w:rPr>
          <w:b/>
          <w:sz w:val="24"/>
          <w:szCs w:val="26"/>
        </w:rPr>
        <w:t>Propozycje zmian, uwagi</w:t>
      </w:r>
    </w:p>
    <w:p w:rsidR="00721C02" w:rsidRPr="0045162A" w:rsidRDefault="00721C02" w:rsidP="004D03D7"/>
    <w:tbl>
      <w:tblPr>
        <w:tblStyle w:val="Tabela-Siatka"/>
        <w:tblW w:w="9101" w:type="dxa"/>
        <w:tblInd w:w="108" w:type="dxa"/>
        <w:tblLook w:val="04A0" w:firstRow="1" w:lastRow="0" w:firstColumn="1" w:lastColumn="0" w:noHBand="0" w:noVBand="1"/>
      </w:tblPr>
      <w:tblGrid>
        <w:gridCol w:w="493"/>
        <w:gridCol w:w="2201"/>
        <w:gridCol w:w="3160"/>
        <w:gridCol w:w="3247"/>
      </w:tblGrid>
      <w:tr w:rsidR="00A90249" w:rsidRPr="0045162A" w:rsidTr="00E51B4B">
        <w:trPr>
          <w:trHeight w:val="982"/>
        </w:trPr>
        <w:tc>
          <w:tcPr>
            <w:tcW w:w="493" w:type="dxa"/>
            <w:shd w:val="clear" w:color="auto" w:fill="EDEDED" w:themeFill="accent3" w:themeFillTint="33"/>
            <w:vAlign w:val="center"/>
          </w:tcPr>
          <w:p w:rsidR="00A90249" w:rsidRPr="00E51B4B" w:rsidRDefault="00A90249" w:rsidP="00E51B4B">
            <w:pPr>
              <w:jc w:val="center"/>
              <w:rPr>
                <w:b/>
                <w:szCs w:val="24"/>
              </w:rPr>
            </w:pPr>
            <w:r w:rsidRPr="00E51B4B">
              <w:rPr>
                <w:b/>
                <w:szCs w:val="24"/>
              </w:rPr>
              <w:t>Lp.</w:t>
            </w:r>
          </w:p>
        </w:tc>
        <w:tc>
          <w:tcPr>
            <w:tcW w:w="2201" w:type="dxa"/>
            <w:shd w:val="clear" w:color="auto" w:fill="EDEDED" w:themeFill="accent3" w:themeFillTint="33"/>
            <w:vAlign w:val="center"/>
          </w:tcPr>
          <w:p w:rsidR="00A90249" w:rsidRPr="00E51B4B" w:rsidRDefault="00E51B4B" w:rsidP="00E51B4B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Cześć dokumentu, do której odnosi się uwaga</w:t>
            </w:r>
          </w:p>
        </w:tc>
        <w:tc>
          <w:tcPr>
            <w:tcW w:w="3160" w:type="dxa"/>
            <w:shd w:val="clear" w:color="auto" w:fill="EDEDED" w:themeFill="accent3" w:themeFillTint="33"/>
            <w:vAlign w:val="center"/>
          </w:tcPr>
          <w:p w:rsidR="00A90249" w:rsidRPr="00E51B4B" w:rsidRDefault="00A90249" w:rsidP="00E51B4B">
            <w:pPr>
              <w:jc w:val="center"/>
              <w:rPr>
                <w:b/>
                <w:szCs w:val="24"/>
              </w:rPr>
            </w:pPr>
            <w:r w:rsidRPr="00E51B4B">
              <w:rPr>
                <w:b/>
                <w:szCs w:val="24"/>
              </w:rPr>
              <w:t>Treść uwagi</w:t>
            </w:r>
          </w:p>
        </w:tc>
        <w:tc>
          <w:tcPr>
            <w:tcW w:w="3247" w:type="dxa"/>
            <w:shd w:val="clear" w:color="auto" w:fill="EDEDED" w:themeFill="accent3" w:themeFillTint="33"/>
            <w:vAlign w:val="center"/>
          </w:tcPr>
          <w:p w:rsidR="00A90249" w:rsidRPr="00E51B4B" w:rsidRDefault="00A90249" w:rsidP="00E51B4B">
            <w:pPr>
              <w:jc w:val="center"/>
              <w:rPr>
                <w:b/>
                <w:szCs w:val="24"/>
              </w:rPr>
            </w:pPr>
            <w:r w:rsidRPr="00E51B4B">
              <w:rPr>
                <w:b/>
                <w:szCs w:val="24"/>
              </w:rPr>
              <w:t>Uzasadnienie uwagi</w:t>
            </w:r>
          </w:p>
        </w:tc>
      </w:tr>
      <w:tr w:rsidR="00A90249" w:rsidRPr="0045162A" w:rsidTr="00E51B4B">
        <w:trPr>
          <w:trHeight w:val="3501"/>
        </w:trPr>
        <w:tc>
          <w:tcPr>
            <w:tcW w:w="493" w:type="dxa"/>
            <w:vAlign w:val="center"/>
          </w:tcPr>
          <w:p w:rsidR="00A90249" w:rsidRPr="00E51B4B" w:rsidRDefault="00A90249" w:rsidP="00E51B4B">
            <w:pPr>
              <w:jc w:val="left"/>
              <w:rPr>
                <w:b/>
              </w:rPr>
            </w:pPr>
            <w:r w:rsidRPr="00E51B4B">
              <w:rPr>
                <w:b/>
              </w:rPr>
              <w:t>1.</w:t>
            </w:r>
          </w:p>
        </w:tc>
        <w:tc>
          <w:tcPr>
            <w:tcW w:w="2201" w:type="dxa"/>
          </w:tcPr>
          <w:p w:rsidR="00A90249" w:rsidRPr="0045162A" w:rsidRDefault="00A90249" w:rsidP="005871DA">
            <w:pPr>
              <w:rPr>
                <w:b/>
                <w:sz w:val="22"/>
              </w:rPr>
            </w:pPr>
          </w:p>
          <w:p w:rsidR="00A90249" w:rsidRPr="0045162A" w:rsidRDefault="00A90249" w:rsidP="005871DA">
            <w:pPr>
              <w:rPr>
                <w:b/>
                <w:sz w:val="22"/>
              </w:rPr>
            </w:pPr>
          </w:p>
          <w:p w:rsidR="00A90249" w:rsidRPr="0045162A" w:rsidRDefault="00A90249" w:rsidP="005871DA">
            <w:pPr>
              <w:rPr>
                <w:b/>
                <w:sz w:val="22"/>
              </w:rPr>
            </w:pPr>
          </w:p>
          <w:p w:rsidR="00A90249" w:rsidRPr="0045162A" w:rsidRDefault="00A90249" w:rsidP="005871DA">
            <w:pPr>
              <w:rPr>
                <w:b/>
                <w:sz w:val="22"/>
              </w:rPr>
            </w:pPr>
          </w:p>
          <w:p w:rsidR="00A90249" w:rsidRPr="0045162A" w:rsidRDefault="00A90249" w:rsidP="005871DA">
            <w:pPr>
              <w:rPr>
                <w:b/>
                <w:sz w:val="22"/>
              </w:rPr>
            </w:pPr>
          </w:p>
          <w:p w:rsidR="00A90249" w:rsidRPr="0045162A" w:rsidRDefault="00A90249" w:rsidP="005871DA">
            <w:pPr>
              <w:rPr>
                <w:b/>
                <w:sz w:val="22"/>
              </w:rPr>
            </w:pPr>
          </w:p>
          <w:p w:rsidR="00A90249" w:rsidRPr="0045162A" w:rsidRDefault="00A90249" w:rsidP="005871DA">
            <w:pPr>
              <w:rPr>
                <w:b/>
                <w:sz w:val="22"/>
              </w:rPr>
            </w:pPr>
          </w:p>
          <w:p w:rsidR="00A90249" w:rsidRPr="0045162A" w:rsidRDefault="00A90249" w:rsidP="005871DA">
            <w:pPr>
              <w:rPr>
                <w:b/>
                <w:sz w:val="22"/>
              </w:rPr>
            </w:pPr>
          </w:p>
        </w:tc>
        <w:tc>
          <w:tcPr>
            <w:tcW w:w="3160" w:type="dxa"/>
          </w:tcPr>
          <w:p w:rsidR="00A90249" w:rsidRPr="0045162A" w:rsidRDefault="00A90249" w:rsidP="005871DA">
            <w:pPr>
              <w:rPr>
                <w:b/>
                <w:sz w:val="22"/>
              </w:rPr>
            </w:pPr>
          </w:p>
        </w:tc>
        <w:tc>
          <w:tcPr>
            <w:tcW w:w="3247" w:type="dxa"/>
          </w:tcPr>
          <w:p w:rsidR="00A90249" w:rsidRPr="0045162A" w:rsidRDefault="00A90249" w:rsidP="005871DA">
            <w:pPr>
              <w:rPr>
                <w:b/>
                <w:sz w:val="22"/>
              </w:rPr>
            </w:pPr>
          </w:p>
        </w:tc>
      </w:tr>
      <w:tr w:rsidR="00A90249" w:rsidRPr="0045162A" w:rsidTr="00E51B4B">
        <w:trPr>
          <w:trHeight w:val="3820"/>
        </w:trPr>
        <w:tc>
          <w:tcPr>
            <w:tcW w:w="493" w:type="dxa"/>
            <w:vAlign w:val="center"/>
          </w:tcPr>
          <w:p w:rsidR="00A90249" w:rsidRPr="00E51B4B" w:rsidRDefault="00A90249" w:rsidP="00E51B4B">
            <w:pPr>
              <w:jc w:val="left"/>
              <w:rPr>
                <w:b/>
              </w:rPr>
            </w:pPr>
            <w:r w:rsidRPr="00E51B4B">
              <w:rPr>
                <w:b/>
              </w:rPr>
              <w:t>2.</w:t>
            </w:r>
          </w:p>
        </w:tc>
        <w:tc>
          <w:tcPr>
            <w:tcW w:w="2201" w:type="dxa"/>
          </w:tcPr>
          <w:p w:rsidR="00A90249" w:rsidRPr="0045162A" w:rsidRDefault="00A90249" w:rsidP="005871DA">
            <w:pPr>
              <w:rPr>
                <w:b/>
                <w:sz w:val="22"/>
              </w:rPr>
            </w:pPr>
          </w:p>
          <w:p w:rsidR="00A90249" w:rsidRPr="0045162A" w:rsidRDefault="00A90249" w:rsidP="005871DA">
            <w:pPr>
              <w:rPr>
                <w:b/>
                <w:sz w:val="22"/>
              </w:rPr>
            </w:pPr>
          </w:p>
          <w:p w:rsidR="00A90249" w:rsidRPr="0045162A" w:rsidRDefault="00A90249" w:rsidP="005871DA">
            <w:pPr>
              <w:rPr>
                <w:b/>
                <w:sz w:val="22"/>
              </w:rPr>
            </w:pPr>
          </w:p>
          <w:p w:rsidR="00A90249" w:rsidRPr="0045162A" w:rsidRDefault="00A90249" w:rsidP="005871DA">
            <w:pPr>
              <w:rPr>
                <w:b/>
                <w:sz w:val="22"/>
              </w:rPr>
            </w:pPr>
          </w:p>
          <w:p w:rsidR="00A90249" w:rsidRPr="0045162A" w:rsidRDefault="00A90249" w:rsidP="005871DA">
            <w:pPr>
              <w:rPr>
                <w:b/>
                <w:sz w:val="22"/>
              </w:rPr>
            </w:pPr>
          </w:p>
          <w:p w:rsidR="00A90249" w:rsidRPr="0045162A" w:rsidRDefault="00A90249" w:rsidP="005871DA">
            <w:pPr>
              <w:rPr>
                <w:b/>
                <w:sz w:val="22"/>
              </w:rPr>
            </w:pPr>
          </w:p>
          <w:p w:rsidR="00A90249" w:rsidRPr="0045162A" w:rsidRDefault="00A90249" w:rsidP="005871DA">
            <w:pPr>
              <w:rPr>
                <w:b/>
                <w:sz w:val="22"/>
              </w:rPr>
            </w:pPr>
          </w:p>
          <w:p w:rsidR="00A90249" w:rsidRPr="0045162A" w:rsidRDefault="00A90249" w:rsidP="005871DA">
            <w:pPr>
              <w:rPr>
                <w:b/>
                <w:sz w:val="22"/>
              </w:rPr>
            </w:pPr>
          </w:p>
        </w:tc>
        <w:tc>
          <w:tcPr>
            <w:tcW w:w="3160" w:type="dxa"/>
          </w:tcPr>
          <w:p w:rsidR="00A90249" w:rsidRPr="0045162A" w:rsidRDefault="00A90249" w:rsidP="005871DA">
            <w:pPr>
              <w:rPr>
                <w:b/>
                <w:sz w:val="22"/>
              </w:rPr>
            </w:pPr>
          </w:p>
        </w:tc>
        <w:tc>
          <w:tcPr>
            <w:tcW w:w="3247" w:type="dxa"/>
          </w:tcPr>
          <w:p w:rsidR="00A90249" w:rsidRPr="0045162A" w:rsidRDefault="00A90249" w:rsidP="005871DA">
            <w:pPr>
              <w:rPr>
                <w:b/>
                <w:sz w:val="22"/>
              </w:rPr>
            </w:pPr>
          </w:p>
        </w:tc>
      </w:tr>
      <w:tr w:rsidR="00A90249" w:rsidRPr="0045162A" w:rsidTr="00E51B4B">
        <w:trPr>
          <w:trHeight w:val="3524"/>
        </w:trPr>
        <w:tc>
          <w:tcPr>
            <w:tcW w:w="493" w:type="dxa"/>
            <w:vAlign w:val="center"/>
          </w:tcPr>
          <w:p w:rsidR="00A90249" w:rsidRPr="00E51B4B" w:rsidRDefault="00A90249" w:rsidP="00E51B4B">
            <w:pPr>
              <w:jc w:val="left"/>
              <w:rPr>
                <w:b/>
              </w:rPr>
            </w:pPr>
            <w:r w:rsidRPr="00E51B4B">
              <w:rPr>
                <w:b/>
              </w:rPr>
              <w:t>3.</w:t>
            </w:r>
          </w:p>
        </w:tc>
        <w:tc>
          <w:tcPr>
            <w:tcW w:w="2201" w:type="dxa"/>
          </w:tcPr>
          <w:p w:rsidR="00A90249" w:rsidRPr="0045162A" w:rsidRDefault="00A90249" w:rsidP="005871DA">
            <w:pPr>
              <w:rPr>
                <w:b/>
                <w:sz w:val="22"/>
              </w:rPr>
            </w:pPr>
          </w:p>
          <w:p w:rsidR="00A90249" w:rsidRPr="0045162A" w:rsidRDefault="00A90249" w:rsidP="005871DA">
            <w:pPr>
              <w:rPr>
                <w:b/>
                <w:sz w:val="22"/>
              </w:rPr>
            </w:pPr>
          </w:p>
          <w:p w:rsidR="00A90249" w:rsidRPr="0045162A" w:rsidRDefault="00A90249" w:rsidP="005871DA">
            <w:pPr>
              <w:rPr>
                <w:b/>
                <w:sz w:val="22"/>
              </w:rPr>
            </w:pPr>
          </w:p>
          <w:p w:rsidR="00A90249" w:rsidRPr="0045162A" w:rsidRDefault="00A90249" w:rsidP="005871DA">
            <w:pPr>
              <w:rPr>
                <w:b/>
                <w:sz w:val="22"/>
              </w:rPr>
            </w:pPr>
          </w:p>
          <w:p w:rsidR="00A90249" w:rsidRPr="0045162A" w:rsidRDefault="00A90249" w:rsidP="005871DA">
            <w:pPr>
              <w:rPr>
                <w:b/>
                <w:sz w:val="22"/>
              </w:rPr>
            </w:pPr>
          </w:p>
          <w:p w:rsidR="00A90249" w:rsidRPr="0045162A" w:rsidRDefault="00A90249" w:rsidP="005871DA">
            <w:pPr>
              <w:rPr>
                <w:b/>
                <w:sz w:val="22"/>
              </w:rPr>
            </w:pPr>
          </w:p>
          <w:p w:rsidR="00A90249" w:rsidRPr="0045162A" w:rsidRDefault="00A90249" w:rsidP="005871DA">
            <w:pPr>
              <w:rPr>
                <w:b/>
                <w:sz w:val="22"/>
              </w:rPr>
            </w:pPr>
          </w:p>
          <w:p w:rsidR="00A90249" w:rsidRPr="0045162A" w:rsidRDefault="00A90249" w:rsidP="005871DA">
            <w:pPr>
              <w:rPr>
                <w:b/>
                <w:sz w:val="22"/>
              </w:rPr>
            </w:pPr>
          </w:p>
          <w:p w:rsidR="00A90249" w:rsidRPr="0045162A" w:rsidRDefault="00A90249" w:rsidP="005871DA">
            <w:pPr>
              <w:rPr>
                <w:b/>
                <w:sz w:val="22"/>
              </w:rPr>
            </w:pPr>
          </w:p>
        </w:tc>
        <w:tc>
          <w:tcPr>
            <w:tcW w:w="3160" w:type="dxa"/>
          </w:tcPr>
          <w:p w:rsidR="00A90249" w:rsidRPr="0045162A" w:rsidRDefault="00A90249" w:rsidP="005871DA">
            <w:pPr>
              <w:rPr>
                <w:b/>
                <w:sz w:val="22"/>
              </w:rPr>
            </w:pPr>
          </w:p>
        </w:tc>
        <w:tc>
          <w:tcPr>
            <w:tcW w:w="3247" w:type="dxa"/>
          </w:tcPr>
          <w:p w:rsidR="00A90249" w:rsidRPr="0045162A" w:rsidRDefault="00A90249" w:rsidP="005871DA">
            <w:pPr>
              <w:rPr>
                <w:b/>
                <w:sz w:val="22"/>
              </w:rPr>
            </w:pPr>
          </w:p>
        </w:tc>
      </w:tr>
    </w:tbl>
    <w:p w:rsidR="005871DA" w:rsidRPr="0045162A" w:rsidRDefault="005871DA" w:rsidP="005871DA">
      <w:pPr>
        <w:rPr>
          <w:b/>
        </w:rPr>
      </w:pPr>
    </w:p>
    <w:p w:rsidR="007F734D" w:rsidRPr="0045162A" w:rsidRDefault="007F734D" w:rsidP="005871DA">
      <w:pPr>
        <w:rPr>
          <w:b/>
        </w:rPr>
      </w:pPr>
    </w:p>
    <w:p w:rsidR="007F734D" w:rsidRPr="0045162A" w:rsidRDefault="007F734D" w:rsidP="005871DA">
      <w:pPr>
        <w:rPr>
          <w:b/>
        </w:rPr>
      </w:pPr>
    </w:p>
    <w:p w:rsidR="00766915" w:rsidRPr="0045162A" w:rsidRDefault="007F734D" w:rsidP="007F734D">
      <w:pPr>
        <w:shd w:val="clear" w:color="auto" w:fill="D9D9D9" w:themeFill="background1" w:themeFillShade="D9"/>
        <w:rPr>
          <w:b/>
          <w:sz w:val="26"/>
          <w:szCs w:val="26"/>
        </w:rPr>
      </w:pPr>
      <w:r w:rsidRPr="0045162A">
        <w:rPr>
          <w:b/>
          <w:sz w:val="24"/>
          <w:szCs w:val="26"/>
        </w:rPr>
        <w:t>Metryka</w:t>
      </w:r>
    </w:p>
    <w:p w:rsidR="00CD0529" w:rsidRPr="0045162A" w:rsidRDefault="00CD0529" w:rsidP="007F734D"/>
    <w:p w:rsidR="005871DA" w:rsidRPr="003730B3" w:rsidRDefault="00985FB1" w:rsidP="00AB176A">
      <w:pPr>
        <w:shd w:val="clear" w:color="auto" w:fill="EDEDED" w:themeFill="accent3" w:themeFillTint="33"/>
        <w:rPr>
          <w:b/>
        </w:rPr>
      </w:pPr>
      <w:r w:rsidRPr="003730B3">
        <w:rPr>
          <w:b/>
        </w:rPr>
        <w:t xml:space="preserve">M1. </w:t>
      </w:r>
      <w:r w:rsidR="005871DA" w:rsidRPr="003730B3">
        <w:rPr>
          <w:b/>
        </w:rPr>
        <w:t xml:space="preserve">Typ interesariusza </w:t>
      </w:r>
    </w:p>
    <w:p w:rsidR="00985FB1" w:rsidRPr="0045162A" w:rsidRDefault="00AA79F9" w:rsidP="00985FB1">
      <w:pPr>
        <w:pStyle w:val="Akapitzlist"/>
        <w:numPr>
          <w:ilvl w:val="0"/>
          <w:numId w:val="1"/>
        </w:numPr>
      </w:pPr>
      <w:r w:rsidRPr="0045162A">
        <w:t>Mieszkaniec obszaru rewitalizacji</w:t>
      </w:r>
    </w:p>
    <w:p w:rsidR="00AA79F9" w:rsidRPr="0045162A" w:rsidRDefault="00AA79F9" w:rsidP="00985FB1">
      <w:pPr>
        <w:pStyle w:val="Akapitzlist"/>
        <w:numPr>
          <w:ilvl w:val="0"/>
          <w:numId w:val="1"/>
        </w:numPr>
      </w:pPr>
      <w:r w:rsidRPr="0045162A">
        <w:t>Właściciel, użytkownik wieczysty nieruchomości, podmiot zarządzający nieruchomościami znajdującymi się na obszarze rewitalizacji</w:t>
      </w:r>
    </w:p>
    <w:p w:rsidR="00AA79F9" w:rsidRPr="0045162A" w:rsidRDefault="00AA79F9" w:rsidP="00985FB1">
      <w:pPr>
        <w:pStyle w:val="Akapitzlist"/>
        <w:numPr>
          <w:ilvl w:val="0"/>
          <w:numId w:val="1"/>
        </w:numPr>
      </w:pPr>
      <w:r w:rsidRPr="0045162A">
        <w:t>Mieszkaniec gminy</w:t>
      </w:r>
    </w:p>
    <w:p w:rsidR="00AA79F9" w:rsidRPr="0045162A" w:rsidRDefault="00AA79F9" w:rsidP="00985FB1">
      <w:pPr>
        <w:pStyle w:val="Akapitzlist"/>
        <w:numPr>
          <w:ilvl w:val="0"/>
          <w:numId w:val="1"/>
        </w:numPr>
      </w:pPr>
      <w:r w:rsidRPr="0045162A">
        <w:t>Podmiot prowadzący lub zamierzający prowadzić na obszarze gminy działalność gospodarczą</w:t>
      </w:r>
    </w:p>
    <w:p w:rsidR="00AA79F9" w:rsidRPr="0045162A" w:rsidRDefault="00AA79F9" w:rsidP="00985FB1">
      <w:pPr>
        <w:pStyle w:val="Akapitzlist"/>
        <w:numPr>
          <w:ilvl w:val="0"/>
          <w:numId w:val="1"/>
        </w:numPr>
      </w:pPr>
      <w:r w:rsidRPr="0045162A">
        <w:t>Podmiot prowadzący lub zamierzający prowadzić na obszarze gminy działalność społeczną, w tym organizacje pozarządowe i grupy nieformalne</w:t>
      </w:r>
    </w:p>
    <w:p w:rsidR="00AA79F9" w:rsidRPr="0045162A" w:rsidRDefault="00AA79F9" w:rsidP="00985FB1">
      <w:pPr>
        <w:pStyle w:val="Akapitzlist"/>
        <w:numPr>
          <w:ilvl w:val="0"/>
          <w:numId w:val="1"/>
        </w:numPr>
      </w:pPr>
      <w:r w:rsidRPr="0045162A">
        <w:t>Jednostki samorządu terytorialnego i ich jednostki organizacyjne</w:t>
      </w:r>
    </w:p>
    <w:p w:rsidR="00AA79F9" w:rsidRPr="0045162A" w:rsidRDefault="00AA79F9" w:rsidP="00985FB1">
      <w:pPr>
        <w:pStyle w:val="Akapitzlist"/>
        <w:numPr>
          <w:ilvl w:val="0"/>
          <w:numId w:val="1"/>
        </w:numPr>
      </w:pPr>
      <w:r w:rsidRPr="0045162A">
        <w:t>Organ władzy publicznej</w:t>
      </w:r>
    </w:p>
    <w:p w:rsidR="00AA79F9" w:rsidRPr="0045162A" w:rsidRDefault="00AA79F9" w:rsidP="00985FB1">
      <w:pPr>
        <w:pStyle w:val="Akapitzlist"/>
        <w:numPr>
          <w:ilvl w:val="0"/>
          <w:numId w:val="1"/>
        </w:numPr>
      </w:pPr>
      <w:r w:rsidRPr="0045162A">
        <w:t>Inne podmioty realizujące na obszarze rewitalizacji uprawnienia Skarbu Państwa</w:t>
      </w:r>
    </w:p>
    <w:p w:rsidR="00E20B74" w:rsidRPr="0045162A" w:rsidRDefault="00E20B74" w:rsidP="00E20B74"/>
    <w:p w:rsidR="00AB176A" w:rsidRPr="003730B3" w:rsidRDefault="00AB176A" w:rsidP="00AB176A">
      <w:pPr>
        <w:shd w:val="clear" w:color="auto" w:fill="EDEDED" w:themeFill="accent3" w:themeFillTint="33"/>
        <w:rPr>
          <w:b/>
        </w:rPr>
      </w:pPr>
      <w:r w:rsidRPr="003730B3">
        <w:rPr>
          <w:b/>
        </w:rPr>
        <w:t>M2. Miejsce zamieszkania/prowadzenia działalności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260"/>
        <w:gridCol w:w="992"/>
        <w:gridCol w:w="3820"/>
      </w:tblGrid>
      <w:tr w:rsidR="006C0AD6" w:rsidRPr="0045162A" w:rsidTr="00914597">
        <w:tc>
          <w:tcPr>
            <w:tcW w:w="988" w:type="dxa"/>
          </w:tcPr>
          <w:p w:rsidR="006C0AD6" w:rsidRPr="0045162A" w:rsidRDefault="006C0AD6" w:rsidP="006C0AD6">
            <w:pPr>
              <w:pStyle w:val="Akapitzlist"/>
              <w:numPr>
                <w:ilvl w:val="0"/>
                <w:numId w:val="3"/>
              </w:numPr>
              <w:jc w:val="left"/>
              <w:rPr>
                <w:sz w:val="22"/>
              </w:rPr>
            </w:pPr>
          </w:p>
        </w:tc>
        <w:tc>
          <w:tcPr>
            <w:tcW w:w="3260" w:type="dxa"/>
          </w:tcPr>
          <w:p w:rsidR="006C0AD6" w:rsidRPr="00EE2B11" w:rsidRDefault="006C0AD6" w:rsidP="006C0AD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EE2B11">
              <w:rPr>
                <w:rFonts w:eastAsia="Times New Roman" w:cs="Times New Roman"/>
                <w:color w:val="000000"/>
                <w:szCs w:val="20"/>
                <w:lang w:eastAsia="pl-PL"/>
              </w:rPr>
              <w:t>Sołectwo Bieszków Dolny</w:t>
            </w:r>
          </w:p>
        </w:tc>
        <w:tc>
          <w:tcPr>
            <w:tcW w:w="992" w:type="dxa"/>
          </w:tcPr>
          <w:p w:rsidR="006C0AD6" w:rsidRPr="0045162A" w:rsidRDefault="006C0AD6" w:rsidP="006C0AD6">
            <w:pPr>
              <w:pStyle w:val="Akapitzlist"/>
              <w:numPr>
                <w:ilvl w:val="0"/>
                <w:numId w:val="2"/>
              </w:numPr>
              <w:jc w:val="left"/>
            </w:pPr>
          </w:p>
        </w:tc>
        <w:tc>
          <w:tcPr>
            <w:tcW w:w="3820" w:type="dxa"/>
          </w:tcPr>
          <w:p w:rsidR="006C0AD6" w:rsidRPr="00EE2B11" w:rsidRDefault="006C0AD6" w:rsidP="006C0AD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EE2B11">
              <w:rPr>
                <w:rFonts w:eastAsia="Times New Roman" w:cs="Times New Roman"/>
                <w:color w:val="000000"/>
                <w:szCs w:val="20"/>
                <w:lang w:eastAsia="pl-PL"/>
              </w:rPr>
              <w:t>Sołectwo Mirówek</w:t>
            </w:r>
          </w:p>
        </w:tc>
      </w:tr>
      <w:tr w:rsidR="006C0AD6" w:rsidRPr="0045162A" w:rsidTr="00914597">
        <w:tc>
          <w:tcPr>
            <w:tcW w:w="988" w:type="dxa"/>
          </w:tcPr>
          <w:p w:rsidR="006C0AD6" w:rsidRPr="0045162A" w:rsidRDefault="006C0AD6" w:rsidP="006C0AD6">
            <w:pPr>
              <w:pStyle w:val="Akapitzlist"/>
              <w:numPr>
                <w:ilvl w:val="0"/>
                <w:numId w:val="2"/>
              </w:numPr>
              <w:jc w:val="left"/>
              <w:rPr>
                <w:sz w:val="22"/>
              </w:rPr>
            </w:pPr>
          </w:p>
        </w:tc>
        <w:tc>
          <w:tcPr>
            <w:tcW w:w="3260" w:type="dxa"/>
          </w:tcPr>
          <w:p w:rsidR="006C0AD6" w:rsidRPr="00EE2B11" w:rsidRDefault="006C0AD6" w:rsidP="006C0AD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EE2B11">
              <w:rPr>
                <w:rFonts w:eastAsia="Times New Roman" w:cs="Times New Roman"/>
                <w:color w:val="000000"/>
                <w:szCs w:val="20"/>
                <w:lang w:eastAsia="pl-PL"/>
              </w:rPr>
              <w:t>Sołectwo Bieszków Górny</w:t>
            </w:r>
          </w:p>
        </w:tc>
        <w:tc>
          <w:tcPr>
            <w:tcW w:w="992" w:type="dxa"/>
          </w:tcPr>
          <w:p w:rsidR="006C0AD6" w:rsidRPr="0045162A" w:rsidRDefault="006C0AD6" w:rsidP="006C0AD6">
            <w:pPr>
              <w:pStyle w:val="Akapitzlist"/>
              <w:numPr>
                <w:ilvl w:val="0"/>
                <w:numId w:val="2"/>
              </w:numPr>
              <w:jc w:val="left"/>
            </w:pPr>
          </w:p>
        </w:tc>
        <w:tc>
          <w:tcPr>
            <w:tcW w:w="3820" w:type="dxa"/>
          </w:tcPr>
          <w:p w:rsidR="006C0AD6" w:rsidRPr="00EE2B11" w:rsidRDefault="006C0AD6" w:rsidP="006C0AD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EE2B11">
              <w:rPr>
                <w:rFonts w:eastAsia="Times New Roman" w:cs="Times New Roman"/>
                <w:color w:val="000000"/>
                <w:szCs w:val="20"/>
                <w:lang w:eastAsia="pl-PL"/>
              </w:rPr>
              <w:t>Sołectwo Rogów</w:t>
            </w:r>
          </w:p>
        </w:tc>
      </w:tr>
      <w:tr w:rsidR="006C0AD6" w:rsidRPr="0045162A" w:rsidTr="00914597">
        <w:tc>
          <w:tcPr>
            <w:tcW w:w="988" w:type="dxa"/>
          </w:tcPr>
          <w:p w:rsidR="006C0AD6" w:rsidRPr="0045162A" w:rsidRDefault="006C0AD6" w:rsidP="006C0AD6">
            <w:pPr>
              <w:pStyle w:val="Akapitzlist"/>
              <w:numPr>
                <w:ilvl w:val="0"/>
                <w:numId w:val="2"/>
              </w:numPr>
              <w:jc w:val="left"/>
              <w:rPr>
                <w:sz w:val="22"/>
              </w:rPr>
            </w:pPr>
          </w:p>
        </w:tc>
        <w:tc>
          <w:tcPr>
            <w:tcW w:w="3260" w:type="dxa"/>
          </w:tcPr>
          <w:p w:rsidR="006C0AD6" w:rsidRPr="00EE2B11" w:rsidRDefault="006C0AD6" w:rsidP="006C0AD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EE2B11">
              <w:rPr>
                <w:rFonts w:eastAsia="Times New Roman" w:cs="Times New Roman"/>
                <w:color w:val="000000"/>
                <w:szCs w:val="20"/>
                <w:lang w:eastAsia="pl-PL"/>
              </w:rPr>
              <w:t>Sołectwo Mirów Nowy</w:t>
            </w:r>
          </w:p>
        </w:tc>
        <w:tc>
          <w:tcPr>
            <w:tcW w:w="992" w:type="dxa"/>
          </w:tcPr>
          <w:p w:rsidR="006C0AD6" w:rsidRPr="0045162A" w:rsidRDefault="006C0AD6" w:rsidP="006C0AD6">
            <w:pPr>
              <w:pStyle w:val="Akapitzlist"/>
              <w:numPr>
                <w:ilvl w:val="0"/>
                <w:numId w:val="2"/>
              </w:numPr>
              <w:jc w:val="left"/>
            </w:pPr>
          </w:p>
        </w:tc>
        <w:tc>
          <w:tcPr>
            <w:tcW w:w="3820" w:type="dxa"/>
          </w:tcPr>
          <w:p w:rsidR="006C0AD6" w:rsidRPr="00EE2B11" w:rsidRDefault="006C0AD6" w:rsidP="006C0AD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EE2B11">
              <w:rPr>
                <w:rFonts w:eastAsia="Times New Roman" w:cs="Times New Roman"/>
                <w:color w:val="000000"/>
                <w:szCs w:val="20"/>
                <w:lang w:eastAsia="pl-PL"/>
              </w:rPr>
              <w:t>Sołectwo Zbijów Duży</w:t>
            </w:r>
          </w:p>
        </w:tc>
      </w:tr>
      <w:tr w:rsidR="006C0AD6" w:rsidRPr="0045162A" w:rsidTr="00914597">
        <w:tc>
          <w:tcPr>
            <w:tcW w:w="988" w:type="dxa"/>
          </w:tcPr>
          <w:p w:rsidR="006C0AD6" w:rsidRPr="0045162A" w:rsidRDefault="006C0AD6" w:rsidP="006C0AD6">
            <w:pPr>
              <w:pStyle w:val="Akapitzlist"/>
              <w:numPr>
                <w:ilvl w:val="0"/>
                <w:numId w:val="2"/>
              </w:numPr>
              <w:jc w:val="left"/>
              <w:rPr>
                <w:sz w:val="22"/>
              </w:rPr>
            </w:pPr>
          </w:p>
        </w:tc>
        <w:tc>
          <w:tcPr>
            <w:tcW w:w="3260" w:type="dxa"/>
          </w:tcPr>
          <w:p w:rsidR="006C0AD6" w:rsidRPr="00EE2B11" w:rsidRDefault="006C0AD6" w:rsidP="006C0AD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EE2B11">
              <w:rPr>
                <w:rFonts w:eastAsia="Times New Roman" w:cs="Times New Roman"/>
                <w:color w:val="000000"/>
                <w:szCs w:val="20"/>
                <w:lang w:eastAsia="pl-PL"/>
              </w:rPr>
              <w:t>Sołectwo Mirów Stary</w:t>
            </w:r>
            <w:r>
              <w:rPr>
                <w:rFonts w:eastAsia="Times New Roman" w:cs="Times New Roman"/>
                <w:color w:val="000000"/>
                <w:szCs w:val="20"/>
                <w:lang w:eastAsia="pl-PL"/>
              </w:rPr>
              <w:t>/Mirów</w:t>
            </w:r>
          </w:p>
        </w:tc>
        <w:tc>
          <w:tcPr>
            <w:tcW w:w="992" w:type="dxa"/>
          </w:tcPr>
          <w:p w:rsidR="006C0AD6" w:rsidRPr="0045162A" w:rsidRDefault="006C0AD6" w:rsidP="006C0AD6">
            <w:pPr>
              <w:pStyle w:val="Akapitzlist"/>
              <w:numPr>
                <w:ilvl w:val="0"/>
                <w:numId w:val="2"/>
              </w:numPr>
              <w:jc w:val="left"/>
            </w:pPr>
          </w:p>
        </w:tc>
        <w:tc>
          <w:tcPr>
            <w:tcW w:w="3820" w:type="dxa"/>
          </w:tcPr>
          <w:p w:rsidR="006C0AD6" w:rsidRPr="00EE2B11" w:rsidRDefault="006C0AD6" w:rsidP="006C0AD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0"/>
                <w:lang w:eastAsia="pl-PL"/>
              </w:rPr>
            </w:pPr>
            <w:r w:rsidRPr="00EE2B11">
              <w:rPr>
                <w:rFonts w:eastAsia="Times New Roman" w:cs="Times New Roman"/>
                <w:color w:val="000000"/>
                <w:szCs w:val="20"/>
                <w:lang w:eastAsia="pl-PL"/>
              </w:rPr>
              <w:t>Sołectwo Zbijów Mały</w:t>
            </w:r>
          </w:p>
        </w:tc>
      </w:tr>
    </w:tbl>
    <w:p w:rsidR="00B70077" w:rsidRPr="0045162A" w:rsidRDefault="00B70077" w:rsidP="00AB176A"/>
    <w:p w:rsidR="00527A8F" w:rsidRPr="0045162A" w:rsidRDefault="00527A8F" w:rsidP="00AB176A"/>
    <w:p w:rsidR="00B70077" w:rsidRPr="0045162A" w:rsidRDefault="00B70077" w:rsidP="00AB176A"/>
    <w:p w:rsidR="00B70077" w:rsidRPr="0045162A" w:rsidRDefault="00B70077" w:rsidP="00B70077">
      <w:pPr>
        <w:spacing w:line="240" w:lineRule="auto"/>
        <w:jc w:val="right"/>
        <w:rPr>
          <w:sz w:val="24"/>
          <w:szCs w:val="28"/>
        </w:rPr>
      </w:pPr>
      <w:r w:rsidRPr="0045162A">
        <w:rPr>
          <w:sz w:val="24"/>
          <w:szCs w:val="28"/>
        </w:rPr>
        <w:t>…………………………………………………..</w:t>
      </w:r>
    </w:p>
    <w:p w:rsidR="00B70077" w:rsidRPr="0045162A" w:rsidRDefault="00B70077" w:rsidP="00B70077">
      <w:pPr>
        <w:spacing w:line="240" w:lineRule="auto"/>
        <w:jc w:val="right"/>
        <w:rPr>
          <w:sz w:val="18"/>
          <w:szCs w:val="20"/>
        </w:rPr>
      </w:pPr>
      <w:r w:rsidRPr="0045162A">
        <w:rPr>
          <w:sz w:val="18"/>
          <w:szCs w:val="20"/>
        </w:rPr>
        <w:t>(czytelny podpis osoby wypełniającej formularz)</w:t>
      </w:r>
    </w:p>
    <w:p w:rsidR="00154FC9" w:rsidRPr="0045162A" w:rsidRDefault="00154FC9" w:rsidP="00BA3B07">
      <w:pPr>
        <w:spacing w:line="240" w:lineRule="auto"/>
      </w:pPr>
    </w:p>
    <w:sectPr w:rsidR="00154FC9" w:rsidRPr="0045162A" w:rsidSect="004873A6">
      <w:headerReference w:type="default" r:id="rId7"/>
      <w:pgSz w:w="11906" w:h="16838"/>
      <w:pgMar w:top="1417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5A9" w:rsidRDefault="00D335A9" w:rsidP="00A90249">
      <w:pPr>
        <w:spacing w:line="240" w:lineRule="auto"/>
      </w:pPr>
      <w:r>
        <w:separator/>
      </w:r>
    </w:p>
  </w:endnote>
  <w:endnote w:type="continuationSeparator" w:id="0">
    <w:p w:rsidR="00D335A9" w:rsidRDefault="00D335A9" w:rsidP="00A902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5A9" w:rsidRDefault="00D335A9" w:rsidP="00A90249">
      <w:pPr>
        <w:spacing w:line="240" w:lineRule="auto"/>
      </w:pPr>
      <w:r>
        <w:separator/>
      </w:r>
    </w:p>
  </w:footnote>
  <w:footnote w:type="continuationSeparator" w:id="0">
    <w:p w:rsidR="00D335A9" w:rsidRDefault="00D335A9" w:rsidP="00A902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249" w:rsidRDefault="006C0AD6">
    <w:pPr>
      <w:pStyle w:val="Nagwek"/>
    </w:pPr>
    <w:r>
      <w:rPr>
        <w:rFonts w:ascii="Arial" w:hAnsi="Arial" w:cs="Arial"/>
        <w:b/>
        <w:noProof/>
        <w:color w:val="808080" w:themeColor="background1" w:themeShade="80"/>
        <w:szCs w:val="16"/>
        <w:lang w:eastAsia="pl-PL"/>
      </w:rPr>
      <w:drawing>
        <wp:anchor distT="0" distB="0" distL="114300" distR="114300" simplePos="0" relativeHeight="251656192" behindDoc="0" locked="0" layoutInCell="1" allowOverlap="1" wp14:anchorId="14BD2F94" wp14:editId="38D6ECC0">
          <wp:simplePos x="0" y="0"/>
          <wp:positionH relativeFrom="margin">
            <wp:posOffset>4596765</wp:posOffset>
          </wp:positionH>
          <wp:positionV relativeFrom="paragraph">
            <wp:posOffset>-360045</wp:posOffset>
          </wp:positionV>
          <wp:extent cx="1151255" cy="581025"/>
          <wp:effectExtent l="0" t="0" r="0" b="0"/>
          <wp:wrapSquare wrapText="bothSides"/>
          <wp:docPr id="109" name="Obraz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C3E2791" wp14:editId="7780E952">
          <wp:simplePos x="0" y="0"/>
          <wp:positionH relativeFrom="column">
            <wp:posOffset>-5080</wp:posOffset>
          </wp:positionH>
          <wp:positionV relativeFrom="paragraph">
            <wp:posOffset>-502920</wp:posOffset>
          </wp:positionV>
          <wp:extent cx="828675" cy="857250"/>
          <wp:effectExtent l="0" t="0" r="0" b="0"/>
          <wp:wrapSquare wrapText="bothSides"/>
          <wp:docPr id="2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26F97"/>
    <w:multiLevelType w:val="hybridMultilevel"/>
    <w:tmpl w:val="9F0C34BA"/>
    <w:lvl w:ilvl="0" w:tplc="3692C6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A69DC"/>
    <w:multiLevelType w:val="hybridMultilevel"/>
    <w:tmpl w:val="D9286D86"/>
    <w:lvl w:ilvl="0" w:tplc="AD80A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4E64FF"/>
    <w:multiLevelType w:val="hybridMultilevel"/>
    <w:tmpl w:val="19FE9A3A"/>
    <w:lvl w:ilvl="0" w:tplc="0DFCD2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953AE"/>
    <w:multiLevelType w:val="hybridMultilevel"/>
    <w:tmpl w:val="5150D446"/>
    <w:lvl w:ilvl="0" w:tplc="16A4EA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329"/>
    <w:rsid w:val="00033901"/>
    <w:rsid w:val="0014537C"/>
    <w:rsid w:val="00154FC9"/>
    <w:rsid w:val="001A265F"/>
    <w:rsid w:val="001F626F"/>
    <w:rsid w:val="00200887"/>
    <w:rsid w:val="00211162"/>
    <w:rsid w:val="00222137"/>
    <w:rsid w:val="00260A06"/>
    <w:rsid w:val="00281BC9"/>
    <w:rsid w:val="003730B3"/>
    <w:rsid w:val="00386DC5"/>
    <w:rsid w:val="003E1329"/>
    <w:rsid w:val="00414BB3"/>
    <w:rsid w:val="0045162A"/>
    <w:rsid w:val="004873A6"/>
    <w:rsid w:val="004951A8"/>
    <w:rsid w:val="004D03D7"/>
    <w:rsid w:val="004E1EA0"/>
    <w:rsid w:val="00527A8F"/>
    <w:rsid w:val="00541B0B"/>
    <w:rsid w:val="0056158C"/>
    <w:rsid w:val="005871DA"/>
    <w:rsid w:val="005B416B"/>
    <w:rsid w:val="005F0F81"/>
    <w:rsid w:val="006910FF"/>
    <w:rsid w:val="006C0AD6"/>
    <w:rsid w:val="00721C02"/>
    <w:rsid w:val="00766915"/>
    <w:rsid w:val="007C45F9"/>
    <w:rsid w:val="007E4341"/>
    <w:rsid w:val="007F734D"/>
    <w:rsid w:val="00837D08"/>
    <w:rsid w:val="008871C3"/>
    <w:rsid w:val="00915939"/>
    <w:rsid w:val="0091629E"/>
    <w:rsid w:val="00964CB5"/>
    <w:rsid w:val="00985FB1"/>
    <w:rsid w:val="00986194"/>
    <w:rsid w:val="009A4972"/>
    <w:rsid w:val="00A90249"/>
    <w:rsid w:val="00AA79F9"/>
    <w:rsid w:val="00AB176A"/>
    <w:rsid w:val="00B11CBE"/>
    <w:rsid w:val="00B31732"/>
    <w:rsid w:val="00B4799F"/>
    <w:rsid w:val="00B70077"/>
    <w:rsid w:val="00B710B7"/>
    <w:rsid w:val="00BA3B07"/>
    <w:rsid w:val="00C50BC5"/>
    <w:rsid w:val="00C9691A"/>
    <w:rsid w:val="00CB27BD"/>
    <w:rsid w:val="00CD0529"/>
    <w:rsid w:val="00D335A9"/>
    <w:rsid w:val="00E20B74"/>
    <w:rsid w:val="00E51B4B"/>
    <w:rsid w:val="00E54129"/>
    <w:rsid w:val="00E66C75"/>
    <w:rsid w:val="00ED2FE1"/>
    <w:rsid w:val="00F01E3D"/>
    <w:rsid w:val="00F20ECC"/>
    <w:rsid w:val="00F74544"/>
    <w:rsid w:val="00FC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B1C89"/>
  <w15:docId w15:val="{F89761C9-F118-403C-95FC-C38E753E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6158C"/>
    <w:pPr>
      <w:spacing w:after="0" w:line="360" w:lineRule="auto"/>
      <w:jc w:val="both"/>
    </w:pPr>
    <w:rPr>
      <w:rFonts w:ascii="Century Gothic" w:hAnsi="Century Gothic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0ECC"/>
    <w:pPr>
      <w:pBdr>
        <w:top w:val="single" w:sz="24" w:space="0" w:color="9ACA48"/>
        <w:left w:val="single" w:sz="24" w:space="0" w:color="9ACA48"/>
        <w:bottom w:val="single" w:sz="24" w:space="0" w:color="9ACA48"/>
        <w:right w:val="single" w:sz="24" w:space="0" w:color="9ACA48"/>
      </w:pBdr>
      <w:shd w:val="clear" w:color="auto" w:fill="9ACA48"/>
      <w:spacing w:before="120"/>
      <w:outlineLvl w:val="0"/>
    </w:pPr>
    <w:rPr>
      <w:rFonts w:eastAsiaTheme="minorEastAsia"/>
      <w:caps/>
      <w:color w:val="FFFFFF" w:themeColor="background1"/>
      <w:spacing w:val="15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ECC"/>
    <w:rPr>
      <w:rFonts w:ascii="Century Gothic" w:eastAsiaTheme="minorEastAsia" w:hAnsi="Century Gothic"/>
      <w:caps/>
      <w:color w:val="FFFFFF" w:themeColor="background1"/>
      <w:spacing w:val="15"/>
      <w:sz w:val="24"/>
      <w:shd w:val="clear" w:color="auto" w:fill="9ACA48"/>
    </w:rPr>
  </w:style>
  <w:style w:type="paragraph" w:styleId="Akapitzlist">
    <w:name w:val="List Paragraph"/>
    <w:basedOn w:val="Normalny"/>
    <w:link w:val="AkapitzlistZnak"/>
    <w:uiPriority w:val="34"/>
    <w:qFormat/>
    <w:rsid w:val="00985FB1"/>
    <w:pPr>
      <w:ind w:left="720"/>
      <w:contextualSpacing/>
    </w:pPr>
  </w:style>
  <w:style w:type="table" w:styleId="Tabela-Siatka">
    <w:name w:val="Table Grid"/>
    <w:basedOn w:val="Standardowy"/>
    <w:uiPriority w:val="39"/>
    <w:rsid w:val="00AB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AB176A"/>
    <w:rPr>
      <w:rFonts w:ascii="Century Gothic" w:hAnsi="Century Gothic"/>
      <w:sz w:val="20"/>
    </w:rPr>
  </w:style>
  <w:style w:type="paragraph" w:styleId="Nagwek">
    <w:name w:val="header"/>
    <w:basedOn w:val="Normalny"/>
    <w:link w:val="NagwekZnak"/>
    <w:uiPriority w:val="99"/>
    <w:unhideWhenUsed/>
    <w:rsid w:val="00A9024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249"/>
    <w:rPr>
      <w:rFonts w:ascii="Century Gothic" w:hAnsi="Century Gothic"/>
      <w:sz w:val="20"/>
    </w:rPr>
  </w:style>
  <w:style w:type="paragraph" w:styleId="Stopka">
    <w:name w:val="footer"/>
    <w:basedOn w:val="Normalny"/>
    <w:link w:val="StopkaZnak"/>
    <w:uiPriority w:val="99"/>
    <w:unhideWhenUsed/>
    <w:rsid w:val="00A9024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249"/>
    <w:rPr>
      <w:rFonts w:ascii="Century Gothic" w:hAnsi="Century Gothic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B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B7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66C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Szymala</dc:creator>
  <cp:lastModifiedBy>Wojciech Szymala - Grupa BST</cp:lastModifiedBy>
  <cp:revision>5</cp:revision>
  <cp:lastPrinted>2016-06-23T10:46:00Z</cp:lastPrinted>
  <dcterms:created xsi:type="dcterms:W3CDTF">2016-08-17T06:31:00Z</dcterms:created>
  <dcterms:modified xsi:type="dcterms:W3CDTF">2016-09-06T19:49:00Z</dcterms:modified>
</cp:coreProperties>
</file>